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основу члана 8. Закона о финансирању локалне самоуправе („Сл. гласник РС“ бр. 62/06, 47/11 и 93/12), члана  11. и 38б Закона о порезима на имовину („Службени гласник“ РС број: 26/2001, 80/2002, 135/2004, 61/2007, 5/2009, 101/2010, 24/2011, 78/2011 и 47/2013), члана 36. став 1. тачка 1) Закона о изменама и допунама Закона о порезима на имовину („Службени гласник“ РС број 47/2013) и члана 14., 15., 38. став 1. тачка 3. и 101. Статута општине Крупањ („Службени лист општине Крупањ“ број 19/2008), Скупштина општине Крупањ на седници одржаној 29.11.2013.године, донела  је:</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ОДЛУКУ</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ВИСИНИ СТОПЕ ПОРЕЗА НА ИМОВИНУ</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ЗА НЕПОКРЕТНОСТИ НА ТЕРИТОРИЈИ ОПШТИНЕ КРУПАЊ</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1. </w:t>
      </w:r>
    </w:p>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Овом одлуком утврђују се стопе пореза на имовину на непокретностима  које се налазе на територији општине Крупањ.</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2.</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Стопе пореза на имовину износе:</w:t>
      </w:r>
    </w:p>
    <w:p>
      <w:pPr>
        <w:spacing w:before="240" w:after="2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на права на непокретности пореског обвезника који води пословне књиге – 0,4%;</w:t>
      </w:r>
    </w:p>
    <w:p>
      <w:pPr>
        <w:spacing w:before="240" w:after="2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на права на земљишту код пореског  обвезника који не води пословне књиге – 0,3%;</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на права на непокретности пореског обвезника који не води пословне књиге, осим на земњишту у зависности од висине пореске основице, и то: </w:t>
      </w:r>
    </w:p>
    <w:tbl>
      <w:tblPr/>
      <w:tblGrid>
        <w:gridCol w:w="4500"/>
        <w:gridCol w:w="6012"/>
      </w:tblGrid>
      <w:tr>
        <w:trPr>
          <w:trHeight w:val="1" w:hRule="atLeast"/>
          <w:jc w:val="left"/>
        </w:trPr>
        <w:tc>
          <w:tcPr>
            <w:tcW w:w="4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На пореску основицу</w:t>
            </w:r>
          </w:p>
        </w:tc>
        <w:tc>
          <w:tcPr>
            <w:tcW w:w="60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Плаћа се на име пореза</w:t>
            </w:r>
          </w:p>
        </w:tc>
      </w:tr>
      <w:tr>
        <w:trPr>
          <w:trHeight w:val="1" w:hRule="atLeast"/>
          <w:jc w:val="left"/>
        </w:trPr>
        <w:tc>
          <w:tcPr>
            <w:tcW w:w="4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до 10.000.000,00 динара</w:t>
            </w:r>
          </w:p>
        </w:tc>
        <w:tc>
          <w:tcPr>
            <w:tcW w:w="60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0,25%</w:t>
            </w:r>
          </w:p>
        </w:tc>
      </w:tr>
      <w:tr>
        <w:trPr>
          <w:trHeight w:val="1" w:hRule="atLeast"/>
          <w:jc w:val="left"/>
        </w:trPr>
        <w:tc>
          <w:tcPr>
            <w:tcW w:w="4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од 10.000.000,00 до 25.000.000,00 динара</w:t>
            </w:r>
          </w:p>
        </w:tc>
        <w:tc>
          <w:tcPr>
            <w:tcW w:w="60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25.000,00 </w:t>
            </w:r>
            <w:r>
              <w:rPr>
                <w:rFonts w:ascii="Times New Roman" w:hAnsi="Times New Roman" w:cs="Times New Roman" w:eastAsia="Times New Roman"/>
                <w:color w:val="auto"/>
                <w:spacing w:val="0"/>
                <w:position w:val="0"/>
                <w:sz w:val="24"/>
                <w:shd w:fill="auto" w:val="clear"/>
              </w:rPr>
              <w:t xml:space="preserve">дин.  + 0,6% на износ преко 10.000.000,00 динара</w:t>
            </w:r>
          </w:p>
        </w:tc>
      </w:tr>
      <w:tr>
        <w:trPr>
          <w:trHeight w:val="1" w:hRule="atLeast"/>
          <w:jc w:val="left"/>
        </w:trPr>
        <w:tc>
          <w:tcPr>
            <w:tcW w:w="4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од 25.000.000,00 до 50.000.000,00 динара</w:t>
            </w:r>
          </w:p>
        </w:tc>
        <w:tc>
          <w:tcPr>
            <w:tcW w:w="60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115.000,00 </w:t>
            </w:r>
            <w:r>
              <w:rPr>
                <w:rFonts w:ascii="Times New Roman" w:hAnsi="Times New Roman" w:cs="Times New Roman" w:eastAsia="Times New Roman"/>
                <w:color w:val="auto"/>
                <w:spacing w:val="0"/>
                <w:position w:val="0"/>
                <w:sz w:val="24"/>
                <w:shd w:fill="auto" w:val="clear"/>
              </w:rPr>
              <w:t xml:space="preserve">дин. + 1% на износ преко 25.000.000,00 динара</w:t>
            </w:r>
          </w:p>
        </w:tc>
      </w:tr>
      <w:tr>
        <w:trPr>
          <w:trHeight w:val="1" w:hRule="atLeast"/>
          <w:jc w:val="left"/>
        </w:trPr>
        <w:tc>
          <w:tcPr>
            <w:tcW w:w="4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на износ основице преко 50.000.000,00 динара</w:t>
            </w:r>
          </w:p>
        </w:tc>
        <w:tc>
          <w:tcPr>
            <w:tcW w:w="60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365.000,00 </w:t>
            </w:r>
            <w:r>
              <w:rPr>
                <w:rFonts w:ascii="Times New Roman" w:hAnsi="Times New Roman" w:cs="Times New Roman" w:eastAsia="Times New Roman"/>
                <w:color w:val="auto"/>
                <w:spacing w:val="0"/>
                <w:position w:val="0"/>
                <w:sz w:val="24"/>
                <w:shd w:fill="auto" w:val="clear"/>
              </w:rPr>
              <w:t xml:space="preserve">дин. + 2% на основицу преко 50.000.000,00 динара</w:t>
            </w:r>
          </w:p>
        </w:tc>
      </w:tr>
    </w:tbl>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3.</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Порески обвезници који не воде пословне књиге дужни су да сваку промену која се односи на настанак или престанак пореске обавезе пријаве Одсеку локалне пореске администрације општине Крупањ у року од 30 дана од настанка промене.</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Порески обвезници који воде пословне књиге и који сагласно Закону о порезима на имовину  сами врше утврђивање пореза на имовину (врше самоопорезивање) дужни су да Одсеку локалне пореске администрације општине Крупањ, најкасније до 31. марта сваке пореске године поднесу пореску пријаву са утврђеним порезом на имовину за  ту годину. </w:t>
      </w:r>
    </w:p>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4.</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Ако порески обвезник који не води пословне књиге Одсеку локалне пореске администрације општине Крупањ не поднесе, или не поднесе у законском року пореску пријаву, или ако не поднесе непотписану, или у пријаву унесе нетачне податке казниће се за прекршај новчаном казном физичко лице, порески обвезник од 5.000,00 до 32,500 динара  </w:t>
      </w:r>
      <w:r>
        <w:rPr>
          <w:rFonts w:ascii="Times New Roman" w:hAnsi="Times New Roman" w:cs="Times New Roman" w:eastAsia="Times New Roman"/>
          <w:color w:val="auto"/>
          <w:spacing w:val="0"/>
          <w:position w:val="0"/>
          <w:sz w:val="24"/>
          <w:shd w:fill="FFFF00" w:val="clear"/>
        </w:rPr>
        <w:t xml:space="preserve">(максимално дозвољено до 75.000,00)</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Ако  порески обвезник који води пословне књиге Одсеку локалне пореске администрације општине Крупањ не поднесе, или не поднесе у прописаном року пореску пријаву, или у појединачној пореској пријави наведе нетачне податке казниће се новчаном казном:</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правно лице од 50.000,00 динара до  500.000,00 динара </w:t>
      </w:r>
      <w:r>
        <w:rPr>
          <w:rFonts w:ascii="Calibri" w:hAnsi="Calibri" w:cs="Calibri" w:eastAsia="Calibri"/>
          <w:color w:val="auto"/>
          <w:spacing w:val="0"/>
          <w:position w:val="0"/>
          <w:sz w:val="22"/>
          <w:shd w:fill="FFFF00" w:val="clear"/>
        </w:rPr>
        <w:t xml:space="preserve">(максимално дозвољено 1.000.000,00)</w:t>
      </w:r>
      <w:r>
        <w:rPr>
          <w:rFonts w:ascii="Calibri" w:hAnsi="Calibri" w:cs="Calibri" w:eastAsia="Calibri"/>
          <w:color w:val="auto"/>
          <w:spacing w:val="0"/>
          <w:position w:val="0"/>
          <w:sz w:val="22"/>
          <w:shd w:fill="auto" w:val="clear"/>
        </w:rPr>
        <w:t xml:space="preserv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предузетник  од 5.000,00 динара до 125.000,00 динара </w:t>
      </w:r>
      <w:r>
        <w:rPr>
          <w:rFonts w:ascii="Times New Roman" w:hAnsi="Times New Roman" w:cs="Times New Roman" w:eastAsia="Times New Roman"/>
          <w:color w:val="auto"/>
          <w:spacing w:val="0"/>
          <w:position w:val="0"/>
          <w:sz w:val="24"/>
          <w:shd w:fill="FFFF00" w:val="clear"/>
        </w:rPr>
        <w:t xml:space="preserve">(максимално дозвољено 250.000,00)</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одговорно лице у правном лицу од 5.000,00 до 32,500 динара </w:t>
      </w:r>
      <w:r>
        <w:rPr>
          <w:rFonts w:ascii="Times New Roman" w:hAnsi="Times New Roman" w:cs="Times New Roman" w:eastAsia="Times New Roman"/>
          <w:color w:val="auto"/>
          <w:spacing w:val="0"/>
          <w:position w:val="0"/>
          <w:sz w:val="24"/>
          <w:shd w:fill="FFFF00" w:val="clear"/>
        </w:rPr>
        <w:t xml:space="preserve">(максимално дозвољено 75.000,00)</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7.</w:t>
      </w:r>
    </w:p>
    <w:p>
      <w:pPr>
        <w:spacing w:before="0" w:after="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Ступањем на снагу ове Одлуке престаје да важи Одлука о стопама пореза на имовину                       („Службени лист општине Крупањ“ број: 3/10, 4/11, 6/11)</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8.</w:t>
      </w:r>
    </w:p>
    <w:p>
      <w:pPr>
        <w:spacing w:before="0" w:after="0" w:line="276"/>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Одлука о висини стопе  пореза на имовину за непокретности на територији  општине Крупањ објавиће се и на интернет страни званичне презентације општине Крупањ.</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Члан 9.</w:t>
      </w:r>
    </w:p>
    <w:p>
      <w:pPr>
        <w:spacing w:before="0" w:after="0" w:line="276"/>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Ова одлука ступа на снагу 8 дана од дана објављивања  у „Службеном листу општине Крупањ“, а примењиваће се од 01. јануара 2014. године.</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СКУПШТИНА ОПШТИНЕ КРУПАЊ</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w:t>
      </w:r>
      <w:r>
        <w:rPr>
          <w:rFonts w:ascii="Times New Roman" w:hAnsi="Times New Roman" w:cs="Times New Roman" w:eastAsia="Times New Roman"/>
          <w:color w:val="auto"/>
          <w:spacing w:val="0"/>
          <w:position w:val="0"/>
          <w:sz w:val="24"/>
          <w:shd w:fill="auto" w:val="clear"/>
        </w:rPr>
        <w:t xml:space="preserve">Број:430-17/2013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29.11.2013. </w:t>
      </w:r>
      <w:r>
        <w:rPr>
          <w:rFonts w:ascii="Times New Roman" w:hAnsi="Times New Roman" w:cs="Times New Roman" w:eastAsia="Times New Roman"/>
          <w:color w:val="auto"/>
          <w:spacing w:val="0"/>
          <w:position w:val="0"/>
          <w:sz w:val="24"/>
          <w:shd w:fill="auto" w:val="clear"/>
        </w:rPr>
        <w:t xml:space="preserve">год.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р у п а њ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ПРЕДСЕДНИК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СКУПШТИНЕ ОПШТИНЕ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_________________________</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Александар Зељић,с.р.</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Б Р А З Л О Ж Е Њ Е</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Законом о порезима на имовину и раније је била обавеза Скупштина јединица локалне самоуправе да на својим седницама одреде висину стопе пореза на имовину за пореске обвезнике који воде пословне књиге и за пореске обвезнике који не воде пословне књиге.</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 члану 36. Закона о изменама и допунама Закона о порезима на имовину прописано је да су јединицаме локалне самоуправе дужне да најкасније до 30. новембра 2013 године, за потребе утврђивања пореза на имовину за 2014. годину, објаве одлуку о стопама пореза на имовину.</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Скупштина општине Крупањ је раније  на седници одржаној дана 18.03.2011. године донела Одлуку о стопама пореза на имовину која је послужила као основ и база за писање ове одлуке. </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Пореске стопе које су предложене у овој одлуци су на нивоу пореских стопа које смо имали и до сада тако да њихова примена неће довести до измене пореских обавеза које су и до сада имали порески обвезници.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Одлуком је прецизирана обавеза пореских обвезника који воде пословне књиге и који ће вршити утврђивање пореза самоопорезивањем да имају обавезу подношења пореске пријаве надлежном органу у опшштини Крупањ.</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Чланом 11. став 2. Закона о порезима на имовину прописано је да у случају да скупштина јединице локалне самоуправе не утврди висину пореске стопе, или је утврди преко максималног износа из става 1. овог члана, порез на имовину утврдиће се применом највише одговарајуће пореске стопе из става 1. овог члана на права на непокретности обвезника који води пословне књиге, односно обвезника који не води пословне књиге.</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ПШТИНСКО ВЕЋЕ ОПШТИНЕ КРУПАЊ</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